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00"/>
        <w:rPr/>
      </w:pPr>
      <w:r>
        <w:rPr/>
        <w:t>技术秘密点陈述书</w:t>
      </w:r>
    </w:p>
    <w:p>
      <w:pPr>
        <w:pStyle w:val="BodyText"/>
        <w:bidi w:val="0"/>
        <w:rPr/>
      </w:pPr>
      <w:r>
        <w:rPr/>
        <w:t>（确认不侵害技术秘密之诉／侵害技术秘密之诉 提交用）</w:t>
      </w:r>
    </w:p>
    <w:p>
      <w:pPr>
        <w:pStyle w:val="BodyText"/>
        <w:bidi w:val="0"/>
        <w:ind w:hanging="0" w:left="0" w:right="0"/>
        <w:jc w:val="left"/>
        <w:rPr/>
      </w:pPr>
      <w:r>
        <w:rPr/>
        <w:t>案号：</w:t>
      </w:r>
      <w:r>
        <w:rPr/>
        <w:t>______________________________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提交人（权利人／被告）：</w:t>
      </w:r>
      <w:r>
        <w:rPr/>
        <w:t>______________________________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被诉侵权行为发生时点：</w:t>
      </w:r>
      <w:r>
        <w:rPr/>
        <w:t>______________________________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本陈述书对应研发版本：</w:t>
      </w:r>
      <w:r>
        <w:rPr/>
        <w:t>______________________________</w:t>
      </w:r>
    </w:p>
    <w:p>
      <w:pPr>
        <w:pStyle w:val="Heading2"/>
        <w:bidi w:val="0"/>
        <w:jc w:val="left"/>
        <w:rPr/>
      </w:pPr>
      <w:r>
        <w:rPr/>
        <w:t>一、秘密点清单</w:t>
      </w:r>
    </w:p>
    <w:p>
      <w:pPr>
        <w:pStyle w:val="Heading3"/>
        <w:bidi w:val="0"/>
        <w:jc w:val="left"/>
        <w:rPr/>
      </w:pPr>
      <w:r>
        <w:rPr/>
        <w:t xml:space="preserve">秘密点 </w:t>
      </w:r>
      <w:r>
        <w:rPr/>
        <w:t>1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秘密点内容（一句话说清是什么）：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依附载体与具体位置（图纸编号</w:t>
      </w:r>
      <w:r>
        <w:rPr/>
        <w:t>/</w:t>
      </w:r>
      <w:r>
        <w:rPr/>
        <w:t>页</w:t>
      </w:r>
      <w:r>
        <w:rPr/>
        <w:t>/</w:t>
      </w:r>
      <w:r>
        <w:rPr/>
        <w:t>图层；文档章节；代码库路径与函数）：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区别于公知技术的技术特征：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可供比对的具体参数或步骤（参数给区间、单位、测试条件；步骤给顺序、工艺窗口）：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对应研发版本与时点（版本号＋时间戳）：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非公知性依据（检索范围、公开渠道核查结论）：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若为组合：组合的创造性逻辑：</w:t>
      </w:r>
      <w:r>
        <w:rPr/>
        <w:t>__________________________</w:t>
      </w:r>
    </w:p>
    <w:p>
      <w:pPr>
        <w:pStyle w:val="Heading3"/>
        <w:bidi w:val="0"/>
        <w:jc w:val="left"/>
        <w:rPr/>
      </w:pPr>
      <w:r>
        <w:rPr/>
        <w:t xml:space="preserve">秘密点 </w:t>
      </w:r>
      <w:r>
        <w:rPr/>
        <w:t>2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秘密点内容（一句话说清是什么）：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依附载体与具体位置：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区别于公知技术的技术特征：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可供比对的具体参数或步骤：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对应研发版本与时点：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非公知性依据：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若为组合：组合的创造性逻辑：</w:t>
      </w:r>
      <w:r>
        <w:rPr/>
        <w:t>__________________________</w:t>
      </w:r>
    </w:p>
    <w:p>
      <w:pPr>
        <w:pStyle w:val="Heading3"/>
        <w:bidi w:val="0"/>
        <w:jc w:val="left"/>
        <w:rPr/>
      </w:pPr>
      <w:r>
        <w:rPr/>
        <w:t xml:space="preserve">秘密点 </w:t>
      </w:r>
      <w:r>
        <w:rPr/>
        <w:t>3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秘密点内容（一句话说清是什么）：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依附载体与具体位置：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区别于公知技术的技术特征：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可供比对的具体参数或步骤：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对应研发版本与时点：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非公知性依据：</w:t>
      </w:r>
      <w:r>
        <w:rPr/>
        <w:t>__________________________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若为组合：组合的创造性逻辑：</w:t>
      </w:r>
      <w:r>
        <w:rPr/>
        <w:t>__________________________</w:t>
      </w:r>
    </w:p>
    <w:p>
      <w:pPr>
        <w:pStyle w:val="BodyText"/>
        <w:bidi w:val="0"/>
        <w:rPr/>
      </w:pPr>
      <w:r>
        <w:rPr/>
        <w:t>（秘密点数量不限，按实际逐点续写。）</w:t>
      </w:r>
    </w:p>
    <w:p>
      <w:pPr>
        <w:pStyle w:val="Heading2"/>
        <w:bidi w:val="0"/>
        <w:jc w:val="left"/>
        <w:rPr/>
      </w:pPr>
      <w:r>
        <w:rPr/>
        <w:t>二、填写规则</w:t>
      </w:r>
    </w:p>
    <w:p>
      <w:pPr>
        <w:pStyle w:val="BodyText"/>
        <w:bidi w:val="0"/>
        <w:ind w:hanging="0" w:left="0" w:right="0"/>
        <w:rPr/>
      </w:pPr>
      <w:r>
        <w:rPr/>
        <w:t>1</w:t>
      </w:r>
      <w:r>
        <w:rPr/>
        <w:t>．每个秘密点必须能回答四个问题：是什么、在哪、凭什么不是公知、怎么比。缺任一项即视为未有效固定。</w:t>
      </w:r>
    </w:p>
    <w:p>
      <w:pPr>
        <w:pStyle w:val="BodyText"/>
        <w:bidi w:val="0"/>
        <w:ind w:hanging="0" w:left="0" w:right="0"/>
        <w:rPr/>
      </w:pPr>
      <w:r>
        <w:rPr/>
        <w:t>2</w:t>
      </w:r>
      <w:r>
        <w:rPr/>
        <w:t>．主张整体技术方案（信息集合）的，须说明集合的边界与组合逻辑，不得只提交整套图纸。</w:t>
      </w:r>
    </w:p>
    <w:p>
      <w:pPr>
        <w:pStyle w:val="BodyText"/>
        <w:bidi w:val="0"/>
        <w:ind w:hanging="0" w:left="0" w:right="0"/>
        <w:rPr/>
      </w:pPr>
      <w:r>
        <w:rPr/>
        <w:t>3</w:t>
      </w:r>
      <w:r>
        <w:rPr/>
        <w:t>．参数须给区间、单位、测试条件；步骤须给顺序、工艺窗口；代码须给模块与关键实现。</w:t>
      </w:r>
    </w:p>
    <w:p>
      <w:pPr>
        <w:pStyle w:val="BodyText"/>
        <w:bidi w:val="0"/>
        <w:ind w:hanging="0" w:left="0" w:right="0"/>
        <w:rPr/>
      </w:pPr>
      <w:r>
        <w:rPr/>
        <w:t>4</w:t>
      </w:r>
      <w:r>
        <w:rPr/>
        <w:t>．以图纸、文档的笼统罗列代替要点指明的，不构成有效固定。</w:t>
      </w:r>
    </w:p>
    <w:p>
      <w:pPr>
        <w:pStyle w:val="Heading2"/>
        <w:bidi w:val="0"/>
        <w:jc w:val="left"/>
        <w:rPr/>
      </w:pPr>
      <w:r>
        <w:rPr/>
        <w:t>三、保密性说明（措施清单）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·[ ] </w:t>
      </w:r>
      <w:r>
        <w:rPr/>
        <w:t>保密协议／劳动合同保密条款（相对方、签署时间、覆盖范围）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·[ ] </w:t>
      </w:r>
      <w:r>
        <w:rPr/>
        <w:t>内部制度与培训记录（名称、日期）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·[ ] </w:t>
      </w:r>
      <w:r>
        <w:rPr/>
        <w:t>载体管理（标记、密级、存放、权限、加密、封存）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·[ ] </w:t>
      </w:r>
      <w:r>
        <w:rPr/>
        <w:t>人员管理（接触名单、离职交接、竞业安排）</w:t>
      </w:r>
    </w:p>
    <w:p>
      <w:pPr>
        <w:pStyle w:val="BodyText"/>
        <w:bidi w:val="0"/>
        <w:ind w:hanging="0" w:left="0" w:right="0"/>
        <w:jc w:val="left"/>
        <w:rPr/>
      </w:pPr>
      <w:r>
        <w:rPr/>
        <w:t xml:space="preserve">·[ ] </w:t>
      </w:r>
      <w:r>
        <w:rPr/>
        <w:t>对外披露控制（供应商／客户保密约定、来访管理）</w:t>
      </w:r>
    </w:p>
    <w:p>
      <w:pPr>
        <w:pStyle w:val="Heading2"/>
        <w:bidi w:val="0"/>
        <w:jc w:val="left"/>
        <w:rPr/>
      </w:pPr>
      <w:r>
        <w:rPr/>
        <w:t>四、价值性说明</w:t>
      </w:r>
    </w:p>
    <w:p>
      <w:pPr>
        <w:pStyle w:val="BodyText"/>
        <w:bidi w:val="0"/>
        <w:ind w:hanging="0" w:left="0" w:right="0"/>
        <w:jc w:val="left"/>
        <w:rPr/>
      </w:pPr>
      <w:r>
        <w:rPr/>
        <w:t>秘密点与竞争优势的对应关系（成本、良率、周期、性能等可量化指标）：</w:t>
      </w:r>
      <w:r>
        <w:rPr/>
        <w:t>______________________</w:t>
      </w:r>
    </w:p>
    <w:p>
      <w:pPr>
        <w:pStyle w:val="Heading2"/>
        <w:bidi w:val="0"/>
        <w:jc w:val="left"/>
        <w:rPr/>
      </w:pPr>
      <w:r>
        <w:rPr/>
        <w:t>五、版本与时间声明</w:t>
      </w:r>
    </w:p>
    <w:p>
      <w:pPr>
        <w:pStyle w:val="BodyText"/>
        <w:bidi w:val="0"/>
        <w:rPr/>
      </w:pPr>
      <w:r>
        <w:rPr/>
        <w:t>本人主张的秘密点，以不晚于被诉侵权行为发生时的版本为准；发出警告后升级的版本，不作为本案主张范围。</w:t>
      </w:r>
    </w:p>
    <w:p>
      <w:pPr>
        <w:pStyle w:val="Heading2"/>
        <w:bidi w:val="0"/>
        <w:jc w:val="left"/>
        <w:rPr/>
      </w:pPr>
      <w:r>
        <w:rPr/>
        <w:t>六、变更承诺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允许减法：放弃部分秘密点或剔除其中的公知部分；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限制加法：不新增秘密点，不将原主张未涵盖的技术信息纳入保护范围；</w:t>
      </w:r>
    </w:p>
    <w:p>
      <w:pPr>
        <w:pStyle w:val="BodyText"/>
        <w:bidi w:val="0"/>
        <w:ind w:hanging="0" w:left="0" w:right="0"/>
        <w:jc w:val="left"/>
        <w:rPr/>
      </w:pPr>
      <w:r>
        <w:rPr/>
        <w:t>·</w:t>
      </w:r>
      <w:r>
        <w:rPr/>
        <w:t>严禁漂移：不根据对方披露的技术方案反向调整秘密点描述。</w:t>
      </w:r>
    </w:p>
    <w:p>
      <w:pPr>
        <w:pStyle w:val="BodyText"/>
        <w:bidi w:val="0"/>
        <w:ind w:hanging="0" w:left="0" w:right="0"/>
        <w:jc w:val="left"/>
        <w:rPr/>
      </w:pPr>
      <w:r>
        <w:rPr/>
        <w:t>提交人（签章）：</w:t>
      </w:r>
      <w:r>
        <w:rPr/>
        <w:t>____________________</w:t>
      </w:r>
    </w:p>
    <w:p>
      <w:pPr>
        <w:pStyle w:val="BodyText"/>
        <w:bidi w:val="0"/>
        <w:spacing w:before="0" w:after="120"/>
        <w:ind w:hanging="0" w:left="0" w:right="0"/>
        <w:jc w:val="left"/>
        <w:rPr/>
      </w:pPr>
      <w:r>
        <w:rPr/>
        <w:t>日期：</w:t>
      </w:r>
      <w:r>
        <w:rPr/>
        <w:t>____________________</w:t>
      </w:r>
    </w:p>
    <w:sectPr>
      <w:type w:val="nextPage"/>
      <w:pgSz w:w="11906" w:h="16838"/>
      <w:pgMar w:left="1418" w:right="1418" w:gutter="0" w:header="851" w:top="1440" w:footer="992" w:bottom="144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宋体">
    <w:altName w:val="SimSun"/>
    <w:charset w:val="01"/>
    <w:family w:val="auto"/>
    <w:pitch w:val="default"/>
  </w:font>
  <w:font w:name="黑体">
    <w:altName w:val="SimHei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楷体">
    <w:altName w:val="KaiTi"/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408"/>
    </w:pPr>
    <w:rPr>
      <w:rFonts w:ascii="宋体;SimSun;serif" w:hAnsi="宋体;SimSun;serif" w:eastAsia="宋体;SimSun;serif" w:cs="宋体;SimSun;serif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200"/>
      <w:jc w:val="center"/>
    </w:pPr>
    <w:rPr>
      <w:rFonts w:ascii="黑体;SimHei;sans-serif" w:hAnsi="黑体;SimHei;sans-serif" w:eastAsia="黑体;SimHei;sans-serif" w:cs="黑体;SimHei;sans-serif"/>
      <w:b/>
      <w:bCs/>
      <w:sz w:val="34"/>
      <w:szCs w:val="34"/>
    </w:rPr>
  </w:style>
  <w:style w:type="paragraph" w:styleId="Heading2">
    <w:name w:val="heading 2"/>
    <w:basedOn w:val="Heading"/>
    <w:next w:val="BodyText"/>
    <w:qFormat/>
    <w:pPr>
      <w:spacing w:before="300" w:after="120"/>
      <w:ind w:left="300" w:right="300"/>
      <w:outlineLvl w:val="1"/>
    </w:pPr>
    <w:rPr>
      <w:rFonts w:ascii="黑体;SimHei;sans-serif" w:hAnsi="黑体;SimHei;sans-serif" w:eastAsia="黑体;SimHei;sans-serif" w:cs="黑体;SimHei;sans-serif"/>
      <w:b/>
      <w:bCs/>
      <w:sz w:val="27"/>
      <w:szCs w:val="27"/>
    </w:rPr>
  </w:style>
  <w:style w:type="paragraph" w:styleId="Heading3">
    <w:name w:val="heading 3"/>
    <w:basedOn w:val="Heading"/>
    <w:next w:val="BodyText"/>
    <w:qFormat/>
    <w:pPr>
      <w:spacing w:before="220" w:after="100"/>
      <w:ind w:left="220" w:right="220"/>
      <w:outlineLvl w:val="2"/>
    </w:pPr>
    <w:rPr>
      <w:rFonts w:ascii="黑体;SimHei;sans-serif" w:hAnsi="黑体;SimHei;sans-serif" w:eastAsia="黑体;SimHei;sans-serif" w:cs="黑体;SimHei;sans-serif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BodyText">
    <w:name w:val="Body Text"/>
    <w:basedOn w:val="Normal"/>
    <w:pPr>
      <w:spacing w:before="0" w:after="120"/>
      <w:jc w:val="both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lockQuotation">
    <w:name w:val="Block Quotation"/>
    <w:basedOn w:val="Normal"/>
    <w:qFormat/>
    <w:pPr>
      <w:pBdr>
        <w:left w:val="single" w:sz="24" w:space="9" w:color="888888"/>
      </w:pBdr>
      <w:shd w:fill="F5F5F5" w:val="clear"/>
      <w:spacing w:before="0" w:after="200"/>
      <w:ind w:hanging="0" w:left="567" w:right="567"/>
    </w:pPr>
    <w:rPr>
      <w:rFonts w:ascii="楷体;KaiTi;serif" w:hAnsi="楷体;KaiTi;serif" w:eastAsia="楷体;KaiTi;serif" w:cs="楷体;KaiTi;serif"/>
      <w:color w:val="333333"/>
      <w:sz w:val="21"/>
      <w:szCs w:val="21"/>
    </w:rPr>
  </w:style>
  <w:style w:type="paragraph" w:styleId="TableHeading">
    <w:name w:val="Table Heading"/>
    <w:basedOn w:val="TableContents"/>
    <w:qFormat/>
    <w:pPr>
      <w:suppressLineNumbers/>
      <w:shd w:fill="ECECEC" w:val="clear"/>
      <w:jc w:val="center"/>
    </w:pPr>
    <w:rPr>
      <w:rFonts w:ascii="黑体;SimHei;sans-serif" w:hAnsi="黑体;SimHei;sans-serif" w:eastAsia="黑体;SimHei;sans-serif" w:cs="黑体;SimHei;sans-serif"/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